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C" w:rsidRPr="00082F1C" w:rsidRDefault="00AD328E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Mád község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82F1C" w:rsidRPr="00082F1C" w:rsidRDefault="000471A9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</w:t>
      </w:r>
      <w:r w:rsidR="00AD328E">
        <w:rPr>
          <w:rFonts w:eastAsia="Times New Roman" w:cs="Times New Roman"/>
          <w:b/>
          <w:sz w:val="24"/>
          <w:szCs w:val="24"/>
        </w:rPr>
        <w:t>/2015</w:t>
      </w:r>
      <w:r>
        <w:rPr>
          <w:rFonts w:eastAsia="Times New Roman" w:cs="Times New Roman"/>
          <w:b/>
          <w:sz w:val="24"/>
          <w:szCs w:val="24"/>
        </w:rPr>
        <w:t>. (II.19.) önkormányzati rendelet</w:t>
      </w:r>
      <w:r w:rsidR="00B50A5E">
        <w:rPr>
          <w:rFonts w:eastAsia="Times New Roman" w:cs="Times New Roman"/>
          <w:b/>
          <w:sz w:val="24"/>
          <w:szCs w:val="24"/>
        </w:rPr>
        <w:t>e</w:t>
      </w: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 </w:t>
      </w:r>
    </w:p>
    <w:p w:rsidR="00721899" w:rsidRPr="00082F1C" w:rsidRDefault="00721899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(egységes szerkezetben)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AD328E" w:rsidP="00082F1C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Mád község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Önkormányzatának Képviselő-testülete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szociális igazgatásról és szociális ellátásokról szóló 1993. évi III. törvény 1.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ának (2) bekezdésében, 10. § (1) bekezdésében</w:t>
      </w:r>
      <w:proofErr w:type="gram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,</w:t>
      </w:r>
      <w:r w:rsidR="00606FD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26</w:t>
      </w:r>
      <w:proofErr w:type="gramEnd"/>
      <w:r w:rsidR="00082F1C" w:rsidRPr="00082F1C">
        <w:rPr>
          <w:rFonts w:eastAsia="Times New Roman" w:cs="Times New Roman"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ában, 32</w:t>
      </w:r>
      <w:r w:rsidR="00606FDA">
        <w:rPr>
          <w:rFonts w:eastAsia="Times New Roman" w:cs="Times New Roman"/>
          <w:sz w:val="24"/>
          <w:szCs w:val="24"/>
          <w:lang w:eastAsia="hu-HU"/>
        </w:rPr>
        <w:t>. §. (3) bekezdésében, 45. §</w:t>
      </w:r>
      <w:r w:rsidR="00606FDA">
        <w:rPr>
          <w:rFonts w:eastAsia="Times New Roman" w:cs="Times New Roman"/>
          <w:sz w:val="24"/>
          <w:szCs w:val="24"/>
          <w:lang w:eastAsia="hu-HU"/>
        </w:rPr>
        <w:noBreakHyphen/>
        <w:t>ában (1) bekezdésében,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92. § (1) és (2) bekezdésében</w:t>
      </w:r>
      <w:r w:rsidR="00606FDA">
        <w:rPr>
          <w:rFonts w:eastAsia="Times New Roman" w:cs="Times New Roman"/>
          <w:sz w:val="24"/>
          <w:szCs w:val="24"/>
          <w:lang w:eastAsia="hu-HU"/>
        </w:rPr>
        <w:t>, 132. §. (4) bekezdés a), d), g) pontjában, valamint a gyermekek védelméről és a gyámügyi igazgatásról szóló 1997. évi XXXI. törvényben 18. §. (2) bekezdésében kapott felhatalmazás alapján</w:t>
      </w:r>
      <w:proofErr w:type="gramStart"/>
      <w:r w:rsidR="00606FDA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proofErr w:type="gramEnd"/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Magyarország helyi önkormányzatairól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szóló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2011. évi CLXXXIX. törvény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13.§</w:t>
      </w:r>
      <w:r w:rsidR="00606FDA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(1) bekezdés 8., 8.a. pontjaiban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meghatározott feladatkörében eljárva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>a következőket rendeli el: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I. 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rendelet hatálya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</w:rPr>
        <w:t>1.§</w:t>
      </w:r>
      <w:r w:rsidRPr="00082F1C">
        <w:rPr>
          <w:rFonts w:eastAsia="Times New Roman" w:cs="Times New Roman"/>
          <w:sz w:val="24"/>
        </w:rPr>
        <w:t xml:space="preserve"> A rendelet hatálya a szociális igazgatásról és szociális ellátásokról szóló 1993. évi III. törvény (továbbiakban: Szoc</w:t>
      </w:r>
      <w:r w:rsidR="0015231C">
        <w:rPr>
          <w:rFonts w:eastAsia="Times New Roman" w:cs="Times New Roman"/>
          <w:sz w:val="24"/>
        </w:rPr>
        <w:t xml:space="preserve">. </w:t>
      </w:r>
      <w:r w:rsidRPr="00082F1C">
        <w:rPr>
          <w:rFonts w:eastAsia="Times New Roman" w:cs="Times New Roman"/>
          <w:sz w:val="24"/>
        </w:rPr>
        <w:t xml:space="preserve">tv.) alapján </w:t>
      </w:r>
      <w:r w:rsidRPr="00082F1C">
        <w:rPr>
          <w:rFonts w:eastAsia="Times New Roman" w:cs="Times New Roman"/>
          <w:sz w:val="24"/>
          <w:szCs w:val="24"/>
        </w:rPr>
        <w:t>kiterjed: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</w:rPr>
        <w:t>) az önkormányzat illetékességi területén lakóhellyel rendelkező magyar állampolgárokra;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a település közigazgatási területén élő bevándorolt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c) a település közigazgatási területén élő letelepedett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d) </w:t>
      </w:r>
      <w:r w:rsidRPr="00082F1C">
        <w:rPr>
          <w:rFonts w:eastAsia="Times New Roman" w:cs="Times New Roman"/>
          <w:iCs/>
          <w:sz w:val="24"/>
          <w:szCs w:val="24"/>
        </w:rPr>
        <w:t>a magyar hatóságok által menekültként vagy oltalmazottként elismert, a település közigazgatási területén élő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iCs/>
          <w:sz w:val="24"/>
          <w:szCs w:val="24"/>
        </w:rPr>
        <w:t>e</w:t>
      </w:r>
      <w:proofErr w:type="gramEnd"/>
      <w:r w:rsidRPr="00082F1C">
        <w:rPr>
          <w:rFonts w:eastAsia="Times New Roman" w:cs="Times New Roman"/>
          <w:iCs/>
          <w:sz w:val="24"/>
          <w:szCs w:val="24"/>
        </w:rPr>
        <w:t xml:space="preserve">) arra a </w:t>
      </w:r>
      <w:r w:rsidRPr="00082F1C">
        <w:rPr>
          <w:rFonts w:eastAsia="Times New Roman" w:cs="Times New Roman"/>
          <w:sz w:val="24"/>
          <w:szCs w:val="24"/>
        </w:rPr>
        <w:t xml:space="preserve">hajléktalan személyre, aki az ellátás igénybevételekor úgy nyilatkozott, hogy tartózkodási helye a település közigazgatási területén van. 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II. Hatásköri és általános eljárási rendelkezések</w:t>
      </w:r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BC59BC">
        <w:rPr>
          <w:rFonts w:eastAsia="Times New Roman" w:cs="Times New Roman"/>
          <w:b/>
          <w:sz w:val="24"/>
          <w:szCs w:val="24"/>
        </w:rPr>
        <w:t>2. §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bCs/>
          <w:sz w:val="24"/>
          <w:szCs w:val="24"/>
        </w:rPr>
        <w:t>(1)</w:t>
      </w:r>
      <w:r w:rsidRPr="00082F1C">
        <w:rPr>
          <w:rFonts w:eastAsia="Times New Roman" w:cs="Times New Roman"/>
          <w:sz w:val="24"/>
          <w:szCs w:val="24"/>
        </w:rPr>
        <w:t xml:space="preserve"> E rendeletet az Szoc</w:t>
      </w:r>
      <w:r w:rsidR="0015231C">
        <w:rPr>
          <w:rFonts w:eastAsia="Times New Roman" w:cs="Times New Roman"/>
          <w:sz w:val="24"/>
          <w:szCs w:val="24"/>
        </w:rPr>
        <w:t>. tv.-</w:t>
      </w:r>
      <w:r w:rsidRPr="00082F1C">
        <w:rPr>
          <w:rFonts w:eastAsia="Times New Roman" w:cs="Times New Roman"/>
          <w:sz w:val="24"/>
          <w:szCs w:val="24"/>
        </w:rPr>
        <w:t>el és a pénzbeli és természetbeni szociális ellátások igénylésének és megállapításának, valamint folyósításának részletes szabályairól szóló 63/2006. (III. 27.) Korm. rendelettel továbbá az egyes szociális ellátások folyósításának és elszámolásának szabályairól szóló 62/2006. (III. 27.) Korm. rendelettel és a személyes gondoskodást nyújtó ellátások térítési díjairól szóló 29/1993. (II. 17.) Korm. rendelettel együtt kell alkalmazni.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3. § (1)</w:t>
      </w:r>
      <w:r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Az ellátás iránti kérelmet a </w:t>
      </w:r>
      <w:r w:rsidR="00AC2442">
        <w:rPr>
          <w:rFonts w:eastAsia="Times New Roman" w:cs="Times New Roman"/>
          <w:sz w:val="24"/>
          <w:szCs w:val="24"/>
        </w:rPr>
        <w:t>Mádi Polgármesteri</w:t>
      </w:r>
      <w:r w:rsidRPr="00082F1C">
        <w:rPr>
          <w:rFonts w:eastAsia="Times New Roman" w:cs="Times New Roman"/>
          <w:sz w:val="24"/>
          <w:szCs w:val="24"/>
        </w:rPr>
        <w:t xml:space="preserve"> Hivatalánál (továbbiakban: Hivatal) lehet előterjeszteni. az erre a célra rendszeresített formanyo</w:t>
      </w:r>
      <w:r w:rsidR="00AC2442">
        <w:rPr>
          <w:rFonts w:eastAsia="Times New Roman" w:cs="Times New Roman"/>
          <w:sz w:val="24"/>
          <w:szCs w:val="24"/>
        </w:rPr>
        <w:t xml:space="preserve">mtatványon.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Amennyiben a szociális ellátást kérő az általa kérelmezett ellátás helyett más ellátásra lenne jogosult, erre a tényre a figyelmét fel kell hívni, illetőleg amennyiben a benyújtott iratok alapján annak feltételei fennállnak az ellátást részére hivatalból meg kell állapítani.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4. § (1) A rendelet által alkalmazott fogalmak értelmezésére az Szoc</w:t>
      </w:r>
      <w:r w:rsidR="0015231C">
        <w:rPr>
          <w:rFonts w:eastAsia="Times New Roman" w:cs="Times New Roman"/>
          <w:sz w:val="24"/>
          <w:szCs w:val="24"/>
        </w:rPr>
        <w:t xml:space="preserve">. </w:t>
      </w:r>
      <w:r w:rsidRPr="00082F1C">
        <w:rPr>
          <w:rFonts w:eastAsia="Times New Roman" w:cs="Times New Roman"/>
          <w:sz w:val="24"/>
          <w:szCs w:val="24"/>
        </w:rPr>
        <w:t>t</w:t>
      </w:r>
      <w:r w:rsidR="0015231C">
        <w:rPr>
          <w:rFonts w:eastAsia="Times New Roman" w:cs="Times New Roman"/>
          <w:sz w:val="24"/>
          <w:szCs w:val="24"/>
        </w:rPr>
        <w:t>v</w:t>
      </w:r>
      <w:r w:rsidRPr="00082F1C">
        <w:rPr>
          <w:rFonts w:eastAsia="Times New Roman" w:cs="Times New Roman"/>
          <w:sz w:val="24"/>
          <w:szCs w:val="24"/>
        </w:rPr>
        <w:t>-ben foglaltakat kell alkalmazni.</w:t>
      </w:r>
    </w:p>
    <w:p w:rsidR="00082F1C" w:rsidRPr="00082F1C" w:rsidRDefault="001523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(2) Nincs </w:t>
      </w:r>
      <w:proofErr w:type="gramStart"/>
      <w:r>
        <w:rPr>
          <w:rFonts w:eastAsia="Times New Roman" w:cs="Times New Roman"/>
          <w:sz w:val="24"/>
          <w:szCs w:val="24"/>
        </w:rPr>
        <w:t xml:space="preserve">szükség </w:t>
      </w:r>
      <w:r w:rsidR="00082F1C" w:rsidRPr="00082F1C">
        <w:rPr>
          <w:rFonts w:eastAsia="Times New Roman" w:cs="Times New Roman"/>
          <w:sz w:val="24"/>
          <w:szCs w:val="24"/>
        </w:rPr>
        <w:t>igazolásra</w:t>
      </w:r>
      <w:proofErr w:type="gramEnd"/>
      <w:r w:rsidR="00082F1C" w:rsidRPr="00082F1C">
        <w:rPr>
          <w:rFonts w:eastAsia="Times New Roman" w:cs="Times New Roman"/>
          <w:sz w:val="24"/>
          <w:szCs w:val="24"/>
        </w:rPr>
        <w:t xml:space="preserve"> azon adatok tekintetében, melyek a Hivatal  nyilvántartásaiban fellelhetőek.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(3) A pénzbeli és természetbeni szociális ellátások igénylésének és megállapításának, valamint folyósításának részletes szabályairól szóló 63/2006. (III. 27.) Korm. rendelet által említett ellátások tekintetében a kérelemhez az ott felsorolt bizonyítékokat kell csatolni.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(4)</w:t>
      </w:r>
      <w:r w:rsidRPr="00082F1C"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  <w:lang w:eastAsia="hu-HU"/>
        </w:rPr>
        <w:t>A települési támogatás iránti kérelmet e rendelet 3. melléklete szerinti nyomtatványon kell előterjeszteni az abban meghatározott mellékletekkel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  <w:szCs w:val="24"/>
        </w:rPr>
        <w:t>5. § (1)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  <w:szCs w:val="24"/>
        </w:rPr>
        <w:t xml:space="preserve">A döntésre jogosult szerv döntését a benyújtott kérelem, annak mellékletei </w:t>
      </w:r>
      <w:r w:rsidR="00AC2442">
        <w:rPr>
          <w:rFonts w:eastAsia="Times New Roman" w:cs="Times New Roman"/>
          <w:sz w:val="24"/>
          <w:szCs w:val="24"/>
        </w:rPr>
        <w:t xml:space="preserve">amennyiben indokoltnak látja </w:t>
      </w:r>
      <w:r w:rsidRPr="00082F1C">
        <w:rPr>
          <w:rFonts w:eastAsia="Times New Roman" w:cs="Times New Roman"/>
          <w:sz w:val="24"/>
          <w:szCs w:val="24"/>
        </w:rPr>
        <w:t>környezettanulmány alapján köteles meghozni</w:t>
      </w:r>
      <w:r w:rsidR="00AC2442">
        <w:rPr>
          <w:rFonts w:eastAsia="Times New Roman" w:cs="Times New Roman"/>
          <w:sz w:val="24"/>
        </w:rPr>
        <w:t>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jogosulatlanul igénybevett ellátás visszatérítése</w:t>
      </w:r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BC59B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</w:t>
      </w:r>
      <w:r w:rsidR="00082F1C" w:rsidRPr="00082F1C">
        <w:rPr>
          <w:rFonts w:eastAsia="Times New Roman" w:cs="Times New Roman"/>
          <w:b/>
          <w:sz w:val="24"/>
          <w:szCs w:val="24"/>
        </w:rPr>
        <w:t>. §</w:t>
      </w:r>
      <w:r w:rsidR="00082F1C" w:rsidRPr="00082F1C">
        <w:rPr>
          <w:rFonts w:eastAsia="Times New Roman" w:cs="Times New Roman"/>
          <w:sz w:val="24"/>
          <w:szCs w:val="24"/>
        </w:rPr>
        <w:t xml:space="preserve"> Az Szoc</w:t>
      </w:r>
      <w:r w:rsidR="0015231C">
        <w:rPr>
          <w:rFonts w:eastAsia="Times New Roman" w:cs="Times New Roman"/>
          <w:sz w:val="24"/>
          <w:szCs w:val="24"/>
        </w:rPr>
        <w:t xml:space="preserve">. </w:t>
      </w:r>
      <w:r w:rsidR="00082F1C" w:rsidRPr="00082F1C">
        <w:rPr>
          <w:rFonts w:eastAsia="Times New Roman" w:cs="Times New Roman"/>
          <w:sz w:val="24"/>
          <w:szCs w:val="24"/>
        </w:rPr>
        <w:t xml:space="preserve">tv. 17. § (5) bekezdésében </w:t>
      </w:r>
      <w:r w:rsidR="00082F1C" w:rsidRPr="00082F1C">
        <w:rPr>
          <w:rFonts w:eastAsia="Times New Roman" w:cs="Times New Roman"/>
          <w:sz w:val="24"/>
        </w:rPr>
        <w:t>meghatározott kérelmek elbírálása a Szociális és Egészségügyi Bizottság hatáskörébe tartozik.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rendszere</w:t>
      </w:r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BC59B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</w:t>
      </w:r>
      <w:r w:rsidR="00082F1C" w:rsidRPr="00082F1C">
        <w:rPr>
          <w:rFonts w:eastAsia="Times New Roman" w:cs="Times New Roman"/>
          <w:b/>
          <w:sz w:val="24"/>
          <w:szCs w:val="24"/>
        </w:rPr>
        <w:t>. §</w:t>
      </w:r>
      <w:r w:rsidR="00082F1C" w:rsidRPr="00082F1C">
        <w:rPr>
          <w:rFonts w:eastAsia="Times New Roman" w:cs="Times New Roman"/>
          <w:sz w:val="24"/>
          <w:szCs w:val="24"/>
        </w:rPr>
        <w:t xml:space="preserve"> (1) Az önkormányzat a szociális gondoskodásra vonatkozó kötelezettségeinek teljesítését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</w:rPr>
        <w:t>) pénzbeli- és természetbeni ellátások nyújtásával;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személyes gondoskodást biztosító alap ellátások megszervezésével, továbbá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c) egyes szakosított ellátási formák biztosításával valósítja meg.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III. Pénzbeli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EC35ED" w:rsidRPr="00082F1C" w:rsidRDefault="00EC35ED" w:rsidP="00EC35ED">
      <w:pPr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5</w:t>
      </w:r>
      <w:r w:rsidRPr="00082F1C">
        <w:rPr>
          <w:b/>
          <w:sz w:val="24"/>
          <w:szCs w:val="24"/>
        </w:rPr>
        <w:t>.§</w:t>
      </w:r>
      <w:r w:rsidRPr="00082F1C">
        <w:rPr>
          <w:sz w:val="24"/>
          <w:szCs w:val="24"/>
        </w:rPr>
        <w:t xml:space="preserve"> (1) Az önkormányzat települési támogatást nyújt </w:t>
      </w:r>
      <w:r w:rsidRPr="00082F1C">
        <w:rPr>
          <w:rFonts w:eastAsiaTheme="minorEastAsia"/>
          <w:sz w:val="24"/>
          <w:szCs w:val="24"/>
        </w:rPr>
        <w:t>a szociálisan rászorult személyeknek, családoknak az általuk lakott lakás vagy nem lakás céljára szolgáló helyiség fenntartásával kapcsolatos rendszeres kiadásaik viseléséhez, az e rendeletben meghatározott feltételek fennállása esetén (a továbbiakban: lakásf</w:t>
      </w:r>
      <w:r>
        <w:rPr>
          <w:rFonts w:eastAsiaTheme="minorEastAsia"/>
          <w:sz w:val="24"/>
          <w:szCs w:val="24"/>
        </w:rPr>
        <w:t xml:space="preserve">enntartási </w:t>
      </w:r>
      <w:r w:rsidRPr="00082F1C">
        <w:rPr>
          <w:rFonts w:eastAsiaTheme="minorEastAsia"/>
          <w:sz w:val="24"/>
          <w:szCs w:val="24"/>
        </w:rPr>
        <w:t>támogatás).</w:t>
      </w:r>
    </w:p>
    <w:p w:rsidR="00EC35ED" w:rsidRDefault="00EC35ED" w:rsidP="00EC35ED">
      <w:pPr>
        <w:jc w:val="both"/>
        <w:rPr>
          <w:sz w:val="24"/>
          <w:szCs w:val="24"/>
        </w:rPr>
      </w:pPr>
    </w:p>
    <w:p w:rsidR="00EC35ED" w:rsidRDefault="00EC35ED" w:rsidP="00EC35ED">
      <w:pPr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Pr="00082F1C">
        <w:rPr>
          <w:sz w:val="24"/>
          <w:szCs w:val="24"/>
        </w:rPr>
        <w:t xml:space="preserve">) </w:t>
      </w:r>
      <w:r>
        <w:rPr>
          <w:sz w:val="24"/>
          <w:szCs w:val="24"/>
        </w:rPr>
        <w:t>Lakásfenntartási támogatásra jogosult az a személy, akinek a háztrtásában az egy főre jutó havi jövedelme nem haladja meg az öregségi nyugdíj mindenkori legkisebb összegének 250 %-át és a háztartás tagjai egyikének sincs vagyona.</w:t>
      </w:r>
    </w:p>
    <w:p w:rsidR="00EC35ED" w:rsidRDefault="00EC35ED" w:rsidP="00EC35ED">
      <w:pPr>
        <w:jc w:val="both"/>
        <w:rPr>
          <w:sz w:val="24"/>
          <w:szCs w:val="24"/>
        </w:rPr>
      </w:pPr>
    </w:p>
    <w:p w:rsidR="00EC35ED" w:rsidRDefault="00EC35ED" w:rsidP="00EC35ED">
      <w:pPr>
        <w:jc w:val="both"/>
        <w:rPr>
          <w:sz w:val="24"/>
          <w:szCs w:val="24"/>
        </w:rPr>
      </w:pPr>
      <w:r>
        <w:rPr>
          <w:sz w:val="24"/>
          <w:szCs w:val="24"/>
        </w:rPr>
        <w:t>(3) A lakásfenntartási támogatás összege 3.000.-Ft/hó</w:t>
      </w:r>
    </w:p>
    <w:p w:rsidR="00EC35ED" w:rsidRDefault="00EC35ED" w:rsidP="00EC35ED">
      <w:pPr>
        <w:jc w:val="both"/>
        <w:rPr>
          <w:sz w:val="24"/>
          <w:szCs w:val="24"/>
        </w:rPr>
      </w:pPr>
    </w:p>
    <w:p w:rsidR="00EC35ED" w:rsidRDefault="00EC35ED" w:rsidP="00EC35ED">
      <w:pPr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Pr="00082F1C">
        <w:rPr>
          <w:sz w:val="24"/>
          <w:szCs w:val="24"/>
        </w:rPr>
        <w:t>) A lakásfenntartáshoz nyújtott települési támogatást egy évre kell megállapítani.</w:t>
      </w:r>
    </w:p>
    <w:p w:rsidR="00EC35ED" w:rsidRDefault="00EC35ED" w:rsidP="00EC35ED">
      <w:pPr>
        <w:jc w:val="both"/>
        <w:rPr>
          <w:sz w:val="24"/>
          <w:szCs w:val="24"/>
        </w:rPr>
      </w:pPr>
    </w:p>
    <w:p w:rsidR="00EC35ED" w:rsidRDefault="00EC35ED" w:rsidP="00EC35ED">
      <w:pPr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Pr="00082F1C">
        <w:rPr>
          <w:sz w:val="24"/>
          <w:szCs w:val="24"/>
        </w:rPr>
        <w:t>) A lakásfenntartáshoz nyújtott települési támogatás ugyanazon lakásra csak egy jogosultnak állapítható meg, függetlenül a lakásban élő személyek és háztartások számától. E rendelkezés alkalmazásában külön lakásnak kell tekinteni a társbérletet, az albérletet és a jogerős bírói határozattal megosztott lakás lakrészeit.</w:t>
      </w:r>
    </w:p>
    <w:p w:rsidR="00EC35ED" w:rsidRDefault="00EC35ED" w:rsidP="00EC35ED">
      <w:pPr>
        <w:jc w:val="both"/>
        <w:rPr>
          <w:sz w:val="24"/>
          <w:szCs w:val="24"/>
        </w:rPr>
      </w:pPr>
    </w:p>
    <w:p w:rsidR="00EC35ED" w:rsidRDefault="00EC35ED" w:rsidP="00EC35ED">
      <w:pPr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Pr="00082F1C">
        <w:rPr>
          <w:sz w:val="24"/>
          <w:szCs w:val="24"/>
        </w:rPr>
        <w:t xml:space="preserve">) A lakásfenntartáshoz nyújtott települési támogatás iránti kérelem ügyében </w:t>
      </w:r>
      <w:r>
        <w:rPr>
          <w:sz w:val="24"/>
          <w:szCs w:val="24"/>
        </w:rPr>
        <w:t>a jegyző</w:t>
      </w:r>
      <w:r w:rsidRPr="00082F1C">
        <w:rPr>
          <w:sz w:val="24"/>
          <w:szCs w:val="24"/>
        </w:rPr>
        <w:t xml:space="preserve"> dönt.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Rendkívüli 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BC59BC" w:rsidP="00C4660A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6.</w:t>
      </w:r>
      <w:r w:rsidR="00082F1C" w:rsidRPr="00082F1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§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(1) </w:t>
      </w:r>
      <w:r w:rsidR="00BA4700">
        <w:rPr>
          <w:rFonts w:eastAsia="Times New Roman" w:cs="Times New Roman"/>
          <w:sz w:val="24"/>
          <w:szCs w:val="24"/>
          <w:lang w:eastAsia="hu-HU"/>
        </w:rPr>
        <w:t>A Szociális Bizottság a Szoc</w:t>
      </w:r>
      <w:r w:rsidR="00B73D87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BA4700">
        <w:rPr>
          <w:rFonts w:eastAsia="Times New Roman" w:cs="Times New Roman"/>
          <w:sz w:val="24"/>
          <w:szCs w:val="24"/>
          <w:lang w:eastAsia="hu-HU"/>
        </w:rPr>
        <w:t>tv</w:t>
      </w:r>
      <w:proofErr w:type="gramStart"/>
      <w:r w:rsidR="00BA4700">
        <w:rPr>
          <w:rFonts w:eastAsia="Times New Roman" w:cs="Times New Roman"/>
          <w:sz w:val="24"/>
          <w:szCs w:val="24"/>
          <w:lang w:eastAsia="hu-HU"/>
        </w:rPr>
        <w:t>.</w:t>
      </w:r>
      <w:r w:rsidR="00330F55">
        <w:rPr>
          <w:rFonts w:eastAsia="Times New Roman" w:cs="Times New Roman"/>
          <w:sz w:val="24"/>
          <w:szCs w:val="24"/>
          <w:lang w:eastAsia="hu-HU"/>
        </w:rPr>
        <w:t>.</w:t>
      </w:r>
      <w:proofErr w:type="gramEnd"/>
      <w:r w:rsidR="00330F55">
        <w:rPr>
          <w:rFonts w:eastAsia="Times New Roman" w:cs="Times New Roman"/>
          <w:sz w:val="24"/>
          <w:szCs w:val="24"/>
          <w:lang w:eastAsia="hu-HU"/>
        </w:rPr>
        <w:t xml:space="preserve"> 45. §. (3),(4),(5)</w:t>
      </w:r>
      <w:r w:rsidR="00C4660A">
        <w:rPr>
          <w:rFonts w:eastAsia="Times New Roman" w:cs="Times New Roman"/>
          <w:sz w:val="24"/>
          <w:szCs w:val="24"/>
          <w:lang w:eastAsia="hu-HU"/>
        </w:rPr>
        <w:t xml:space="preserve"> szerint r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e</w:t>
      </w:r>
      <w:r w:rsidR="00C4660A">
        <w:rPr>
          <w:rFonts w:eastAsia="Times New Roman" w:cs="Times New Roman"/>
          <w:sz w:val="24"/>
          <w:szCs w:val="24"/>
          <w:lang w:eastAsia="hu-HU"/>
        </w:rPr>
        <w:t>ndkívüli települési támogatást állapít meg</w:t>
      </w:r>
    </w:p>
    <w:p w:rsidR="00082F1C" w:rsidRPr="00082F1C" w:rsidRDefault="00E22CFF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zCs w:val="24"/>
          <w:lang w:eastAsia="hu-HU"/>
        </w:rPr>
        <w:t>(2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)</w:t>
      </w:r>
      <w:r>
        <w:rPr>
          <w:rFonts w:eastAsia="Times New Roman" w:cs="Times New Roman"/>
          <w:sz w:val="24"/>
          <w:szCs w:val="24"/>
          <w:lang w:eastAsia="hu-HU"/>
        </w:rPr>
        <w:t xml:space="preserve"> E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lhunyt személy eltemettetésének költségeihez való hozzájárulásként megállapított re</w:t>
      </w:r>
      <w:r>
        <w:rPr>
          <w:rFonts w:eastAsia="Times New Roman" w:cs="Times New Roman"/>
          <w:sz w:val="24"/>
          <w:szCs w:val="24"/>
          <w:lang w:eastAsia="hu-HU"/>
        </w:rPr>
        <w:t>ndkívüli települési támogatás</w:t>
      </w:r>
      <w:r>
        <w:rPr>
          <w:rFonts w:eastAsia="Times New Roman" w:cs="Times New Roman"/>
          <w:sz w:val="24"/>
        </w:rPr>
        <w:t>ról</w:t>
      </w:r>
      <w:r w:rsidR="007B2421">
        <w:rPr>
          <w:rFonts w:eastAsia="Times New Roman" w:cs="Times New Roman"/>
          <w:sz w:val="24"/>
        </w:rPr>
        <w:t xml:space="preserve"> (temetési segély)</w:t>
      </w:r>
      <w:r>
        <w:rPr>
          <w:rFonts w:eastAsia="Times New Roman" w:cs="Times New Roman"/>
          <w:sz w:val="24"/>
        </w:rPr>
        <w:t xml:space="preserve"> a polgármester dönt, melynek össze</w:t>
      </w:r>
      <w:r w:rsidR="007B2421">
        <w:rPr>
          <w:rFonts w:eastAsia="Times New Roman" w:cs="Times New Roman"/>
          <w:sz w:val="24"/>
        </w:rPr>
        <w:t>ge</w:t>
      </w:r>
      <w:r>
        <w:rPr>
          <w:rFonts w:eastAsia="Times New Roman" w:cs="Times New Roman"/>
          <w:sz w:val="24"/>
        </w:rPr>
        <w:t xml:space="preserve"> 20.000,- Ft. Az eltemettető anyagi, szociális helyzetére való tekintettel a polgármester ettől az összegtől eltérhet.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II. Természetben nyújtott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Köztemetés</w:t>
      </w:r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BC59B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7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 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A Szoc</w:t>
      </w:r>
      <w:r w:rsidR="0015231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48.§-a szerinti köztemetés esetén a polgármester jár el.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 </w:t>
      </w:r>
      <w:r w:rsidRPr="00082F1C">
        <w:rPr>
          <w:rFonts w:eastAsia="Times New Roman" w:cs="Times New Roman"/>
          <w:sz w:val="24"/>
          <w:szCs w:val="24"/>
          <w:lang w:eastAsia="hu-HU"/>
        </w:rPr>
        <w:t>Szoc</w:t>
      </w:r>
      <w:r w:rsidR="0015231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82F1C">
        <w:rPr>
          <w:rFonts w:eastAsia="Times New Roman" w:cs="Times New Roman"/>
          <w:sz w:val="24"/>
          <w:szCs w:val="24"/>
          <w:lang w:eastAsia="hu-HU"/>
        </w:rPr>
        <w:t>tv.</w:t>
      </w:r>
      <w:r w:rsidRPr="00082F1C">
        <w:rPr>
          <w:rFonts w:eastAsia="Times New Roman" w:cs="Times New Roman"/>
          <w:sz w:val="24"/>
        </w:rPr>
        <w:t xml:space="preserve"> 48.§ (3) bekezdés b) pontjában meghatározott esetben a polgármester a visszafizetést elrendel</w:t>
      </w:r>
      <w:r w:rsidRPr="00082F1C">
        <w:rPr>
          <w:rFonts w:ascii="TimesNewRoman" w:eastAsia="Times New Roman" w:hAnsi="TimesNewRoman" w:cs="TimesNewRoman"/>
          <w:sz w:val="24"/>
        </w:rPr>
        <w:t xml:space="preserve">ő </w:t>
      </w:r>
      <w:r w:rsidRPr="00082F1C">
        <w:rPr>
          <w:rFonts w:eastAsia="Times New Roman" w:cs="Times New Roman"/>
          <w:sz w:val="24"/>
        </w:rPr>
        <w:t>határozat joger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emelkedését követ</w:t>
      </w:r>
      <w:r w:rsidRPr="00082F1C">
        <w:rPr>
          <w:rFonts w:ascii="TimesNewRoman" w:eastAsia="Times New Roman" w:hAnsi="TimesNewRoman" w:cs="TimesNewRoman"/>
          <w:sz w:val="24"/>
        </w:rPr>
        <w:t xml:space="preserve">ő harminc </w:t>
      </w:r>
      <w:r w:rsidRPr="00082F1C">
        <w:rPr>
          <w:rFonts w:eastAsia="Times New Roman" w:cs="Times New Roman"/>
          <w:sz w:val="24"/>
        </w:rPr>
        <w:t>napon belül kérelemre, méltányosságból engedélyezhet: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>) részletfizetést, ha a temetésre köteles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-egyedülálló</w:t>
      </w:r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háromszorosát nem éri el, vagy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összege két és félszeresét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visszafizetési kötelezettség 60 %-ig csökkentést, ha a temetésre köteles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egyedülálló</w:t>
      </w:r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két és félszeresét nem éri el, vagy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összege kétszeresét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elengedést, ha a temetésre köteles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egyedülálló</w:t>
      </w:r>
      <w:r w:rsidRPr="00082F1C">
        <w:rPr>
          <w:rFonts w:ascii="TimesNewRoman" w:eastAsia="Times New Roman" w:hAnsi="TimesNewRoman" w:cs="TimesNew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esetén havi jövedelme az öregségi nyugdíj mindenkori legkisebb összege kétszeresét nem éri el, vagy</w:t>
      </w:r>
    </w:p>
    <w:p w:rsidR="00082F1C" w:rsidRPr="00DB2D80" w:rsidRDefault="00082F1C" w:rsidP="00DB2D80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- családjában egy f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jutó havi jövedelme az öregségi nyugdíj mindenkori legkisebb összegének másfélszeresét nem éri el.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i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III.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Személyes gondoskodást nyújtó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BC59B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  <w:vertAlign w:val="superscript"/>
        </w:rPr>
      </w:pPr>
      <w:r>
        <w:rPr>
          <w:rFonts w:eastAsia="Times New Roman" w:cs="Times New Roman"/>
          <w:b/>
          <w:sz w:val="24"/>
        </w:rPr>
        <w:t>8</w:t>
      </w:r>
      <w:r w:rsidR="00082F1C" w:rsidRPr="00082F1C">
        <w:rPr>
          <w:rFonts w:eastAsia="Times New Roman" w:cs="Times New Roman"/>
          <w:b/>
          <w:sz w:val="24"/>
        </w:rPr>
        <w:t xml:space="preserve">. § </w:t>
      </w:r>
      <w:r w:rsidR="00082F1C" w:rsidRPr="00082F1C">
        <w:rPr>
          <w:rFonts w:eastAsia="Times New Roman" w:cs="Times New Roman"/>
          <w:sz w:val="24"/>
        </w:rPr>
        <w:t xml:space="preserve">A személyes gondoskodást nyújtó ellátások körében az önkormányzat az önkormányzat által fenntartott </w:t>
      </w:r>
      <w:r w:rsidR="00503DA2">
        <w:rPr>
          <w:rFonts w:eastAsia="Times New Roman" w:cs="Times New Roman"/>
          <w:sz w:val="24"/>
        </w:rPr>
        <w:t>Szállást Biztosító Idősek Klubja</w:t>
      </w:r>
      <w:r w:rsidR="00082F1C" w:rsidRPr="00082F1C">
        <w:rPr>
          <w:rFonts w:eastAsia="Times New Roman" w:cs="Times New Roman"/>
          <w:sz w:val="24"/>
        </w:rPr>
        <w:t xml:space="preserve"> intézmény útján </w:t>
      </w:r>
      <w:r w:rsidR="00082F1C"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a)</w:t>
      </w:r>
      <w:r w:rsidRPr="00082F1C">
        <w:rPr>
          <w:rFonts w:eastAsia="Times New Roman" w:cs="Times New Roman"/>
          <w:i/>
          <w:sz w:val="24"/>
          <w:vertAlign w:val="superscript"/>
        </w:rPr>
        <w:t xml:space="preserve"> </w:t>
      </w:r>
      <w:proofErr w:type="gramStart"/>
      <w:r w:rsidRPr="00082F1C">
        <w:rPr>
          <w:rFonts w:eastAsia="Times New Roman" w:cs="Times New Roman"/>
          <w:sz w:val="24"/>
        </w:rPr>
        <w:t>étkeztetést</w:t>
      </w:r>
      <w:proofErr w:type="gramEnd"/>
      <w:r w:rsidR="00BA4700">
        <w:rPr>
          <w:rFonts w:eastAsia="Times New Roman" w:cs="Times New Roman"/>
          <w:sz w:val="24"/>
        </w:rPr>
        <w:t xml:space="preserve"> mint alapszolgáltatást,</w:t>
      </w:r>
    </w:p>
    <w:p w:rsidR="00082F1C" w:rsidRPr="00082F1C" w:rsidRDefault="00BA470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 xml:space="preserve">b) </w:t>
      </w:r>
      <w:r w:rsidR="007B2421">
        <w:rPr>
          <w:rFonts w:eastAsia="Times New Roman" w:cs="Times New Roman"/>
          <w:sz w:val="24"/>
        </w:rPr>
        <w:t>időskorúak gondozóháza szakosított ellátást</w:t>
      </w:r>
      <w:r w:rsidR="00082F1C" w:rsidRPr="00082F1C">
        <w:rPr>
          <w:rFonts w:eastAsia="Times New Roman" w:cs="Times New Roman"/>
          <w:sz w:val="24"/>
        </w:rPr>
        <w:t xml:space="preserve"> biztosít.</w:t>
      </w:r>
    </w:p>
    <w:p w:rsidR="00082F1C" w:rsidRPr="00082F1C" w:rsidRDefault="00BC59B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9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082F1C" w:rsidRPr="00082F1C">
        <w:rPr>
          <w:rFonts w:eastAsia="Times New Roman" w:cs="Times New Roman"/>
          <w:sz w:val="24"/>
        </w:rPr>
        <w:t xml:space="preserve"> (1) Az önkormányzat a szociálisan rászorult személyek részére biztosítandó szolgáltatási feladatok meghatározása érdekében az Szoc</w:t>
      </w:r>
      <w:r w:rsidR="0015231C">
        <w:rPr>
          <w:rFonts w:eastAsia="Times New Roman" w:cs="Times New Roman"/>
          <w:sz w:val="24"/>
        </w:rPr>
        <w:t xml:space="preserve">. </w:t>
      </w:r>
      <w:r w:rsidR="00082F1C" w:rsidRPr="00082F1C">
        <w:rPr>
          <w:rFonts w:eastAsia="Times New Roman" w:cs="Times New Roman"/>
          <w:sz w:val="24"/>
        </w:rPr>
        <w:t>tv. 92.§-ában meghatározottak szerint szolgáltatástervezési koncepciót készít.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Az önkormányzat e rendeletben és a szolgáltatási koncepcióban meghatározott feladatok megvalósulásának, végrehajtásának folyamatos figyelemmel kísérése érdekében Szociálpolitikai Kerekasztalt hoz létre.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 A Szociálpolitikai Kerekasztal tagjai: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>) a polgármester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Szociális Bizottság elnöke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>d)</w:t>
      </w:r>
      <w:r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="00BB2504">
        <w:rPr>
          <w:rFonts w:eastAsia="Times New Roman" w:cs="Times New Roman"/>
          <w:sz w:val="24"/>
        </w:rPr>
        <w:t>Szállást Biztosító Idősek Klubja</w:t>
      </w:r>
      <w:r w:rsidRPr="00082F1C">
        <w:rPr>
          <w:rFonts w:eastAsia="Times New Roman" w:cs="Times New Roman"/>
          <w:sz w:val="24"/>
        </w:rPr>
        <w:t xml:space="preserve"> vezetője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f</w:t>
      </w:r>
      <w:proofErr w:type="gramEnd"/>
      <w:r w:rsidR="00BB2504">
        <w:rPr>
          <w:rFonts w:eastAsia="Times New Roman" w:cs="Times New Roman"/>
          <w:sz w:val="24"/>
        </w:rPr>
        <w:t>) családsegítő és gyermekjóléti</w:t>
      </w:r>
      <w:r w:rsidRPr="00082F1C">
        <w:rPr>
          <w:rFonts w:eastAsia="Times New Roman" w:cs="Times New Roman"/>
          <w:sz w:val="24"/>
        </w:rPr>
        <w:t xml:space="preserve"> szolgálat képviselője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(4)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</w:rPr>
        <w:t xml:space="preserve"> A Szociálpolitikai Kerekasztal évente legalább egy alkalommal köteles ülést tartani, melynek összehívásáról </w:t>
      </w:r>
      <w:r w:rsidR="00BB2504">
        <w:rPr>
          <w:rFonts w:eastAsia="Times New Roman" w:cs="Times New Roman"/>
          <w:sz w:val="24"/>
        </w:rPr>
        <w:t>Szociális Bizottság Elnöke gondoskodik, az ülésen</w:t>
      </w:r>
      <w:r w:rsidR="00BA4700">
        <w:rPr>
          <w:rFonts w:eastAsia="Times New Roman" w:cs="Times New Roman"/>
          <w:sz w:val="24"/>
        </w:rPr>
        <w:t xml:space="preserve"> a polgármester </w:t>
      </w:r>
      <w:r w:rsidRPr="00082F1C">
        <w:rPr>
          <w:rFonts w:eastAsia="Times New Roman" w:cs="Times New Roman"/>
          <w:sz w:val="24"/>
        </w:rPr>
        <w:t xml:space="preserve">elnököl. A Szociálpolitikai Kerekasztal működésének rendjét tagjai határozzák meg.  </w:t>
      </w:r>
    </w:p>
    <w:p w:rsidR="00082F1C" w:rsidRPr="00DB2D80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 xml:space="preserve">(5) </w:t>
      </w:r>
      <w:r w:rsidRPr="00082F1C">
        <w:rPr>
          <w:rFonts w:eastAsia="Times New Roman" w:cs="Times New Roman"/>
          <w:b/>
          <w:bCs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 xml:space="preserve">A Szociálpolitikai Kerekasztal működése során az ügyviteli feladatokat </w:t>
      </w:r>
      <w:r w:rsidR="00BB2504">
        <w:rPr>
          <w:rFonts w:eastAsia="Times New Roman" w:cs="Times New Roman"/>
          <w:sz w:val="24"/>
        </w:rPr>
        <w:t>a</w:t>
      </w:r>
      <w:r w:rsidRPr="00082F1C">
        <w:rPr>
          <w:rFonts w:eastAsia="Times New Roman" w:cs="Times New Roman"/>
          <w:sz w:val="24"/>
        </w:rPr>
        <w:t xml:space="preserve"> </w:t>
      </w:r>
      <w:r w:rsidR="00BB2504">
        <w:rPr>
          <w:rFonts w:eastAsia="Times New Roman" w:cs="Times New Roman"/>
          <w:sz w:val="24"/>
        </w:rPr>
        <w:t>Mádi Polgármesteri Hivatal</w:t>
      </w:r>
      <w:r w:rsidRPr="00082F1C">
        <w:rPr>
          <w:rFonts w:eastAsia="Times New Roman" w:cs="Times New Roman"/>
          <w:sz w:val="24"/>
        </w:rPr>
        <w:t xml:space="preserve"> dolgozója látja el.</w:t>
      </w:r>
      <w:r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Default="009D57A1" w:rsidP="009D57A1">
      <w:pPr>
        <w:keepNext/>
        <w:keepLines/>
        <w:widowControl/>
        <w:tabs>
          <w:tab w:val="center" w:pos="4536"/>
          <w:tab w:val="left" w:pos="5535"/>
        </w:tabs>
        <w:autoSpaceDE/>
        <w:autoSpaceDN/>
        <w:adjustRightInd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lastRenderedPageBreak/>
        <w:tab/>
      </w:r>
      <w:r w:rsidR="00082F1C" w:rsidRPr="00082F1C">
        <w:rPr>
          <w:rFonts w:eastAsia="Times New Roman" w:cs="Times New Roman"/>
          <w:b/>
          <w:sz w:val="24"/>
        </w:rPr>
        <w:t>Étkeztetés</w:t>
      </w:r>
      <w:r>
        <w:rPr>
          <w:rFonts w:eastAsia="Times New Roman" w:cs="Times New Roman"/>
          <w:b/>
          <w:sz w:val="24"/>
        </w:rPr>
        <w:tab/>
      </w:r>
      <w:bookmarkStart w:id="0" w:name="_GoBack"/>
      <w:bookmarkEnd w:id="0"/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BC59B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10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 </w:t>
      </w:r>
      <w:r w:rsidR="00082F1C" w:rsidRPr="00082F1C">
        <w:rPr>
          <w:rFonts w:eastAsia="Times New Roman" w:cs="Times New Roman"/>
          <w:sz w:val="24"/>
        </w:rPr>
        <w:t>A Szoc</w:t>
      </w:r>
      <w:r w:rsidR="0015231C">
        <w:rPr>
          <w:rFonts w:eastAsia="Times New Roman" w:cs="Times New Roman"/>
          <w:sz w:val="24"/>
        </w:rPr>
        <w:t xml:space="preserve">. </w:t>
      </w:r>
      <w:r w:rsidR="00082F1C" w:rsidRPr="00082F1C">
        <w:rPr>
          <w:rFonts w:eastAsia="Times New Roman" w:cs="Times New Roman"/>
          <w:sz w:val="24"/>
        </w:rPr>
        <w:t>tv. 62.§-ában meghatározott étkeztetésre jogosult az a rászoruló, aki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>) 70 éven felüli,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beteg,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fogyatékos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d) szenvedélybeteg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e</w:t>
      </w:r>
      <w:proofErr w:type="gramEnd"/>
      <w:r w:rsidRPr="00082F1C">
        <w:rPr>
          <w:rFonts w:eastAsia="Times New Roman" w:cs="Times New Roman"/>
          <w:sz w:val="24"/>
        </w:rPr>
        <w:t>) pszichiátriai 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f</w:t>
      </w:r>
      <w:proofErr w:type="gramEnd"/>
      <w:r w:rsidRPr="00082F1C">
        <w:rPr>
          <w:rFonts w:eastAsia="Times New Roman" w:cs="Times New Roman"/>
          <w:sz w:val="24"/>
        </w:rPr>
        <w:t xml:space="preserve">) hajléktalan.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sz w:val="24"/>
        </w:rPr>
        <w:t>(2) Az ellátás módja lehet: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proofErr w:type="gramStart"/>
      <w:r w:rsidRPr="00082F1C">
        <w:rPr>
          <w:rFonts w:eastAsia="Times New Roman" w:cs="Times New Roman"/>
          <w:i/>
          <w:sz w:val="24"/>
        </w:rPr>
        <w:t>a</w:t>
      </w:r>
      <w:proofErr w:type="gramEnd"/>
      <w:r w:rsidRPr="00082F1C">
        <w:rPr>
          <w:rFonts w:eastAsia="Times New Roman" w:cs="Times New Roman"/>
          <w:i/>
          <w:sz w:val="24"/>
        </w:rPr>
        <w:t>)</w:t>
      </w:r>
      <w:r w:rsidRPr="00082F1C">
        <w:rPr>
          <w:rFonts w:eastAsia="Times New Roman" w:cs="Times New Roman"/>
          <w:sz w:val="24"/>
        </w:rPr>
        <w:t xml:space="preserve"> helyben étkeztetés;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b)</w:t>
      </w:r>
      <w:r w:rsidRPr="00082F1C">
        <w:rPr>
          <w:rFonts w:eastAsia="Times New Roman" w:cs="Times New Roman"/>
          <w:sz w:val="24"/>
        </w:rPr>
        <w:t xml:space="preserve"> étkezés elvitele saját erőből;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i/>
          <w:sz w:val="24"/>
        </w:rPr>
        <w:t>c)</w:t>
      </w:r>
      <w:r w:rsidRPr="00082F1C">
        <w:rPr>
          <w:rFonts w:eastAsia="Times New Roman" w:cs="Times New Roman"/>
          <w:sz w:val="24"/>
        </w:rPr>
        <w:t xml:space="preserve"> étkezés házhoz szállítással.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 Az ellátásért térítési díjat kell fizetni. A térítési díjat az ellátást igénybe vevő jogosult köteles megfizetni. Amennyiben a jogosult jövedelemmel nem rendelkezik, a térítési díjat a jogosult tartására, gondozására kötelezett és képes személy köteles megfizetni.</w:t>
      </w:r>
    </w:p>
    <w:p w:rsid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(4)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</w:rPr>
        <w:t xml:space="preserve">Az önkormányzat az étkeztetést az általa működtetett a </w:t>
      </w:r>
      <w:r w:rsidR="00BB2504">
        <w:rPr>
          <w:rFonts w:eastAsia="Times New Roman" w:cs="Times New Roman"/>
          <w:sz w:val="24"/>
        </w:rPr>
        <w:t>Szállást Biztosító Idősek Klubja</w:t>
      </w:r>
      <w:r w:rsidRPr="00082F1C">
        <w:rPr>
          <w:rFonts w:eastAsia="Times New Roman" w:cs="Times New Roman"/>
          <w:sz w:val="24"/>
        </w:rPr>
        <w:t xml:space="preserve"> intézményen keresztül szervezi meg.</w:t>
      </w:r>
    </w:p>
    <w:p w:rsidR="003131E5" w:rsidRPr="00082F1C" w:rsidRDefault="003131E5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(5) Az étkeztetés intézményi térítési díjat a rendelet 1. számú melléklete tartalmazza.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Házi segítségnyújtás</w:t>
      </w:r>
    </w:p>
    <w:p w:rsidR="005245DB" w:rsidRPr="00082F1C" w:rsidRDefault="005245DB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3131E5" w:rsidRDefault="00BC59BC" w:rsidP="003131E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11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BA4700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BA4700" w:rsidRPr="00BA4700">
        <w:rPr>
          <w:rFonts w:eastAsia="Times New Roman" w:cs="Times New Roman"/>
          <w:sz w:val="24"/>
          <w:szCs w:val="24"/>
          <w:lang w:eastAsia="hu-HU"/>
        </w:rPr>
        <w:t>(1)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A Szoc</w:t>
      </w:r>
      <w:r w:rsidR="0015231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tv. 63.§-a szerinti házi segítségnyújtást az önkormányzat a </w:t>
      </w:r>
      <w:r w:rsidR="007B2421">
        <w:rPr>
          <w:rFonts w:eastAsia="Times New Roman" w:cs="Times New Roman"/>
          <w:sz w:val="24"/>
          <w:szCs w:val="24"/>
          <w:lang w:eastAsia="hu-HU"/>
        </w:rPr>
        <w:t>Szerencs Többcélú Kistérségi Társuláson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keresztül szervezi meg.</w:t>
      </w:r>
    </w:p>
    <w:p w:rsidR="003131E5" w:rsidRPr="003131E5" w:rsidRDefault="003131E5" w:rsidP="003131E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3131E5">
        <w:rPr>
          <w:sz w:val="24"/>
          <w:szCs w:val="24"/>
        </w:rPr>
        <w:t>(2) Az ellátással kapcsolatos eljárási kérdéseket és a szolgáltatás igénybevételéért fizetendő térítési díjakat Szerencs Város Önkormányzata Képviselő-testületének önkormányzati rendelete szabályozza.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Családsegítés</w:t>
      </w:r>
    </w:p>
    <w:p w:rsidR="00B71095" w:rsidRPr="00082F1C" w:rsidRDefault="00B71095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BC59B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12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2"/>
          <w:szCs w:val="24"/>
          <w:lang w:eastAsia="hu-HU"/>
        </w:rPr>
        <w:t xml:space="preserve">A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Szoc</w:t>
      </w:r>
      <w:r w:rsidR="0015231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tv. 64.§-a szerinti családsegítést az önkormányzat a </w:t>
      </w:r>
      <w:r w:rsidR="00BB2504">
        <w:rPr>
          <w:rFonts w:eastAsia="Times New Roman" w:cs="Times New Roman"/>
          <w:sz w:val="24"/>
          <w:szCs w:val="24"/>
          <w:lang w:eastAsia="hu-HU"/>
        </w:rPr>
        <w:t>Hegyaljai Családsegitő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Társuláson keresztül biztosítja.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IV.</w:t>
      </w:r>
    </w:p>
    <w:p w:rsidR="00082F1C" w:rsidRPr="00082F1C" w:rsidRDefault="00082F1C" w:rsidP="00082F1C">
      <w:pPr>
        <w:widowControl/>
        <w:autoSpaceDE/>
        <w:autoSpaceDN/>
        <w:adjustRightInd/>
        <w:spacing w:after="120"/>
        <w:jc w:val="center"/>
        <w:rPr>
          <w:rFonts w:eastAsia="Times New Roman" w:cs="Times New Roman"/>
          <w:b/>
          <w:sz w:val="24"/>
          <w:szCs w:val="24"/>
          <w:lang w:eastAsia="hu-HU"/>
        </w:rPr>
      </w:pPr>
    </w:p>
    <w:p w:rsidR="003131E5" w:rsidRPr="00082F1C" w:rsidRDefault="00082F1C" w:rsidP="00B71095">
      <w:pPr>
        <w:widowControl/>
        <w:autoSpaceDE/>
        <w:autoSpaceDN/>
        <w:adjustRightInd/>
        <w:spacing w:after="120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Szakosított ellátások</w:t>
      </w:r>
    </w:p>
    <w:p w:rsidR="00082F1C" w:rsidRDefault="003131E5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Időskorúak gondozóháza</w:t>
      </w:r>
    </w:p>
    <w:p w:rsidR="00B71095" w:rsidRPr="00082F1C" w:rsidRDefault="00B71095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082F1C" w:rsidRDefault="00BC59BC" w:rsidP="007B2421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13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3131E5">
        <w:rPr>
          <w:rFonts w:eastAsia="Times New Roman" w:cs="Times New Roman"/>
          <w:sz w:val="24"/>
          <w:szCs w:val="24"/>
          <w:lang w:eastAsia="hu-HU"/>
        </w:rPr>
        <w:t xml:space="preserve"> (1)</w:t>
      </w:r>
      <w:r w:rsidR="007B2421">
        <w:rPr>
          <w:rFonts w:eastAsia="Times New Roman" w:cs="Times New Roman"/>
          <w:sz w:val="24"/>
          <w:szCs w:val="24"/>
          <w:lang w:eastAsia="hu-HU"/>
        </w:rPr>
        <w:t xml:space="preserve"> A Szállást Biztosító Idősek Klubja intézmén</w:t>
      </w:r>
      <w:r w:rsidR="00A24057">
        <w:rPr>
          <w:rFonts w:eastAsia="Times New Roman" w:cs="Times New Roman"/>
          <w:sz w:val="24"/>
          <w:szCs w:val="24"/>
          <w:lang w:eastAsia="hu-HU"/>
        </w:rPr>
        <w:t>y keretein belül működő időskorú</w:t>
      </w:r>
      <w:r w:rsidR="007B2421">
        <w:rPr>
          <w:rFonts w:eastAsia="Times New Roman" w:cs="Times New Roman"/>
          <w:sz w:val="24"/>
          <w:szCs w:val="24"/>
          <w:lang w:eastAsia="hu-HU"/>
        </w:rPr>
        <w:t>ak gondozóháza átmenetei elhelyezést nyújtó intézménybe a Szoc. törvény 82. §-ban meghatározott személy helyezhető el.</w:t>
      </w:r>
      <w:r w:rsidR="007B2421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131E5" w:rsidRPr="00082F1C" w:rsidRDefault="003131E5" w:rsidP="007B2421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(2)  Az intézményi térítési díjat a 2. számú melléklet tartalmazza.</w:t>
      </w:r>
    </w:p>
    <w:p w:rsidR="00082F1C" w:rsidRPr="00082F1C" w:rsidRDefault="00082F1C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V. Záró és hatályba léptető rendelkezések</w:t>
      </w:r>
    </w:p>
    <w:p w:rsidR="00B71095" w:rsidRPr="00082F1C" w:rsidRDefault="00B71095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B71095" w:rsidRDefault="00BC59BC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14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E rendelet 2015. március 1. napján lép hatályba, rendelkezéseit a hatályba lépése után indult eljárásokban kell alkalmazni</w:t>
      </w:r>
      <w:r w:rsidR="00B71095">
        <w:rPr>
          <w:rFonts w:eastAsia="Times New Roman" w:cs="Times New Roman"/>
          <w:sz w:val="24"/>
          <w:szCs w:val="24"/>
          <w:lang w:eastAsia="hu-HU"/>
        </w:rPr>
        <w:t>.</w:t>
      </w:r>
    </w:p>
    <w:p w:rsidR="00082F1C" w:rsidRDefault="00082F1C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lastRenderedPageBreak/>
        <w:t xml:space="preserve">(2) E rendelet hatályba lépésével egyidejűleg a szociális </w:t>
      </w:r>
      <w:r w:rsidR="00BC59BC">
        <w:rPr>
          <w:rFonts w:eastAsia="Times New Roman" w:cs="Times New Roman"/>
          <w:sz w:val="24"/>
          <w:szCs w:val="24"/>
        </w:rPr>
        <w:t>igazgatásról és ellátásokról</w:t>
      </w:r>
      <w:r w:rsidRPr="00082F1C">
        <w:rPr>
          <w:rFonts w:eastAsia="Times New Roman" w:cs="Times New Roman"/>
          <w:sz w:val="24"/>
          <w:szCs w:val="24"/>
        </w:rPr>
        <w:t xml:space="preserve"> szóló </w:t>
      </w:r>
      <w:r w:rsidR="00BC59BC">
        <w:rPr>
          <w:rFonts w:eastAsia="Times New Roman" w:cs="Times New Roman"/>
          <w:sz w:val="24"/>
          <w:szCs w:val="24"/>
        </w:rPr>
        <w:t>1/2014</w:t>
      </w:r>
      <w:r w:rsidRPr="00082F1C">
        <w:rPr>
          <w:rFonts w:eastAsia="Times New Roman" w:cs="Times New Roman"/>
          <w:sz w:val="24"/>
          <w:szCs w:val="24"/>
        </w:rPr>
        <w:t>. (</w:t>
      </w:r>
      <w:r w:rsidR="00BC59BC">
        <w:rPr>
          <w:rFonts w:eastAsia="Times New Roman" w:cs="Times New Roman"/>
          <w:sz w:val="24"/>
          <w:szCs w:val="24"/>
        </w:rPr>
        <w:t>01.29.)</w:t>
      </w:r>
      <w:proofErr w:type="gramStart"/>
      <w:r w:rsidR="00BC59BC">
        <w:rPr>
          <w:rFonts w:eastAsia="Times New Roman" w:cs="Times New Roman"/>
          <w:sz w:val="24"/>
          <w:szCs w:val="24"/>
        </w:rPr>
        <w:t xml:space="preserve">, </w:t>
      </w:r>
      <w:r w:rsidR="00B0230A">
        <w:rPr>
          <w:rFonts w:eastAsia="Times New Roman" w:cs="Times New Roman"/>
          <w:sz w:val="24"/>
          <w:szCs w:val="24"/>
        </w:rPr>
        <w:t xml:space="preserve"> valamint</w:t>
      </w:r>
      <w:proofErr w:type="gramEnd"/>
      <w:r w:rsidR="00B0230A">
        <w:rPr>
          <w:rFonts w:eastAsia="Times New Roman" w:cs="Times New Roman"/>
          <w:sz w:val="24"/>
          <w:szCs w:val="24"/>
        </w:rPr>
        <w:t xml:space="preserve"> a személyes gondoskodást nyújtó szociális ellátások térítési díjáról szó</w:t>
      </w:r>
      <w:r w:rsidR="00BC59BC">
        <w:rPr>
          <w:rFonts w:eastAsia="Times New Roman" w:cs="Times New Roman"/>
          <w:sz w:val="24"/>
          <w:szCs w:val="24"/>
        </w:rPr>
        <w:t>ló</w:t>
      </w:r>
      <w:r w:rsidR="00B0230A">
        <w:rPr>
          <w:rFonts w:eastAsia="Times New Roman" w:cs="Times New Roman"/>
          <w:sz w:val="24"/>
          <w:szCs w:val="24"/>
        </w:rPr>
        <w:t xml:space="preserve"> 6/2013.(06.26.)</w:t>
      </w:r>
      <w:r w:rsidRPr="00082F1C">
        <w:rPr>
          <w:rFonts w:eastAsia="Times New Roman" w:cs="Times New Roman"/>
          <w:sz w:val="24"/>
          <w:szCs w:val="24"/>
        </w:rPr>
        <w:t xml:space="preserve"> önkormányzati rendelet hatályát veszti.</w:t>
      </w:r>
    </w:p>
    <w:p w:rsidR="00091C77" w:rsidRDefault="00091C77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91C77" w:rsidRDefault="00091C77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91C77" w:rsidRDefault="00091C77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Tatárka József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Novák András</w:t>
      </w:r>
    </w:p>
    <w:p w:rsidR="00091C77" w:rsidRPr="00082F1C" w:rsidRDefault="00091C77" w:rsidP="00B71095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eastAsia="Times New Roman" w:cs="Times New Roman"/>
          <w:sz w:val="24"/>
          <w:szCs w:val="24"/>
        </w:rPr>
        <w:t>polgármester</w:t>
      </w:r>
      <w:proofErr w:type="gram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jegyző</w:t>
      </w:r>
    </w:p>
    <w:p w:rsidR="00082F1C" w:rsidRDefault="00082F1C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B71095" w:rsidRDefault="00B71095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B71095" w:rsidRDefault="00B71095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B71095" w:rsidRDefault="00B71095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B71095" w:rsidRPr="00B71095" w:rsidRDefault="00B71095" w:rsidP="00134AE9">
      <w:pPr>
        <w:pStyle w:val="Listaszerbekezds"/>
        <w:keepNext/>
        <w:widowControl/>
        <w:numPr>
          <w:ilvl w:val="0"/>
          <w:numId w:val="1"/>
        </w:numPr>
        <w:autoSpaceDE/>
        <w:autoSpaceDN/>
        <w:adjustRightInd/>
        <w:jc w:val="right"/>
        <w:outlineLvl w:val="1"/>
        <w:rPr>
          <w:rFonts w:eastAsia="Times New Roman" w:cs="Times New Roman"/>
          <w:b/>
          <w:sz w:val="24"/>
          <w:szCs w:val="24"/>
          <w:lang w:eastAsia="hu-HU"/>
        </w:rPr>
      </w:pPr>
      <w:r w:rsidRPr="00B71095">
        <w:rPr>
          <w:rFonts w:eastAsia="Times New Roman" w:cs="Times New Roman"/>
          <w:b/>
          <w:sz w:val="24"/>
          <w:szCs w:val="24"/>
          <w:lang w:eastAsia="hu-HU"/>
        </w:rPr>
        <w:t>melléklet</w:t>
      </w:r>
    </w:p>
    <w:p w:rsidR="00082F1C" w:rsidRPr="00082F1C" w:rsidRDefault="00B71095" w:rsidP="00B71095">
      <w:pPr>
        <w:keepNext/>
        <w:keepLines/>
        <w:widowControl/>
        <w:autoSpaceDE/>
        <w:autoSpaceDN/>
        <w:adjustRightInd/>
        <w:ind w:left="4248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</w:t>
      </w:r>
      <w:proofErr w:type="gramStart"/>
      <w:r w:rsidR="00082F1C"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="00082F1C"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</w:t>
      </w:r>
    </w:p>
    <w:p w:rsidR="00082F1C" w:rsidRPr="00082F1C" w:rsidRDefault="00EF4F6D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3/2015.(II.19.) önkormányzati 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rendelethez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785E06" w:rsidRDefault="00082F1C" w:rsidP="00785E06">
      <w:pPr>
        <w:shd w:val="clear" w:color="auto" w:fill="FFFFFF"/>
        <w:spacing w:before="20"/>
        <w:rPr>
          <w:rFonts w:cs="Times New Roman"/>
          <w:sz w:val="24"/>
          <w:szCs w:val="24"/>
          <w:shd w:val="clear" w:color="auto" w:fill="FFFFFF"/>
        </w:rPr>
      </w:pPr>
      <w:r w:rsidRPr="00082F1C">
        <w:rPr>
          <w:rFonts w:eastAsia="Times New Roman" w:cs="Times New Roman"/>
          <w:sz w:val="24"/>
          <w:szCs w:val="24"/>
        </w:rPr>
        <w:t>1. Az étkezte</w:t>
      </w:r>
      <w:r w:rsidR="00AD4196">
        <w:rPr>
          <w:rFonts w:eastAsia="Times New Roman" w:cs="Times New Roman"/>
          <w:sz w:val="24"/>
          <w:szCs w:val="24"/>
        </w:rPr>
        <w:t>t</w:t>
      </w:r>
      <w:r w:rsidR="000A08BB">
        <w:rPr>
          <w:rFonts w:eastAsia="Times New Roman" w:cs="Times New Roman"/>
          <w:sz w:val="24"/>
          <w:szCs w:val="24"/>
        </w:rPr>
        <w:t xml:space="preserve">és intézményi térítési díja: </w:t>
      </w:r>
      <w:r w:rsidR="00785E06">
        <w:rPr>
          <w:rFonts w:eastAsia="Times New Roman" w:cs="Times New Roman"/>
          <w:sz w:val="24"/>
          <w:szCs w:val="24"/>
        </w:rPr>
        <w:t>270.-Ft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2. A kiszállítás díja:</w:t>
      </w:r>
      <w:r w:rsidR="007B2421">
        <w:rPr>
          <w:rFonts w:eastAsia="Times New Roman" w:cs="Times New Roman"/>
          <w:sz w:val="24"/>
          <w:szCs w:val="24"/>
        </w:rPr>
        <w:t>0</w:t>
      </w:r>
      <w:r w:rsidRPr="00082F1C">
        <w:rPr>
          <w:rFonts w:eastAsia="Times New Roman" w:cs="Times New Roman"/>
          <w:sz w:val="24"/>
          <w:szCs w:val="24"/>
        </w:rPr>
        <w:t>,-Ft/adag.</w:t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BA4700" w:rsidRPr="00082F1C" w:rsidRDefault="00BA4700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2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.  melléklet</w:t>
      </w:r>
      <w:proofErr w:type="gramEnd"/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szóló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</w:t>
      </w:r>
      <w:r w:rsidR="00134AE9">
        <w:rPr>
          <w:rFonts w:eastAsia="Times New Roman" w:cs="Times New Roman"/>
          <w:b/>
          <w:sz w:val="24"/>
          <w:szCs w:val="24"/>
        </w:rPr>
        <w:t xml:space="preserve">3/2015.(II.19.) önkormányzati </w:t>
      </w:r>
      <w:r w:rsidRPr="00082F1C">
        <w:rPr>
          <w:rFonts w:eastAsia="Times New Roman" w:cs="Times New Roman"/>
          <w:b/>
          <w:sz w:val="24"/>
          <w:szCs w:val="24"/>
        </w:rPr>
        <w:t xml:space="preserve">rendelethez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785E06" w:rsidRPr="00DB7132" w:rsidRDefault="007B2421" w:rsidP="00785E06">
      <w:pPr>
        <w:shd w:val="clear" w:color="auto" w:fill="FFFFFF"/>
        <w:spacing w:before="20"/>
        <w:rPr>
          <w:rFonts w:eastAsia="Times New Roman" w:cs="Times New Roman"/>
          <w:b/>
          <w:color w:val="00000A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lang w:eastAsia="hu-HU"/>
        </w:rPr>
        <w:t>1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3131E5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gramStart"/>
      <w:r w:rsidR="003131E5">
        <w:rPr>
          <w:rFonts w:eastAsia="Times New Roman" w:cs="Times New Roman"/>
          <w:sz w:val="24"/>
          <w:szCs w:val="24"/>
          <w:lang w:eastAsia="hu-HU"/>
        </w:rPr>
        <w:t xml:space="preserve">SZBIK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intézményi</w:t>
      </w:r>
      <w:proofErr w:type="gram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térítési díja: </w:t>
      </w:r>
      <w:r w:rsidR="00785E06">
        <w:rPr>
          <w:rFonts w:eastAsia="Times New Roman" w:cs="Times New Roman"/>
          <w:sz w:val="24"/>
          <w:szCs w:val="24"/>
          <w:lang w:eastAsia="hu-HU"/>
        </w:rPr>
        <w:t xml:space="preserve">  </w:t>
      </w:r>
      <w:r w:rsidR="00785E06">
        <w:rPr>
          <w:rFonts w:cs="Times New Roman"/>
          <w:sz w:val="24"/>
          <w:szCs w:val="24"/>
          <w:shd w:val="clear" w:color="auto" w:fill="FFFFFF"/>
        </w:rPr>
        <w:t>2.960</w:t>
      </w:r>
      <w:r w:rsidR="00785E06" w:rsidRPr="00DB7132">
        <w:rPr>
          <w:rFonts w:cs="Times New Roman"/>
          <w:sz w:val="24"/>
          <w:szCs w:val="24"/>
          <w:shd w:val="clear" w:color="auto" w:fill="FFFFFF"/>
        </w:rPr>
        <w:t xml:space="preserve"> Ft/nap/fő</w:t>
      </w:r>
    </w:p>
    <w:p w:rsidR="00785E06" w:rsidRPr="00DB7132" w:rsidRDefault="00785E06" w:rsidP="00785E06">
      <w:pPr>
        <w:shd w:val="clear" w:color="auto" w:fill="FFFFFF"/>
        <w:spacing w:before="20"/>
        <w:rPr>
          <w:rFonts w:cs="Times New Roman"/>
          <w:color w:val="00000A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</w:t>
      </w:r>
      <w:r w:rsidRPr="00DB7132">
        <w:rPr>
          <w:rFonts w:cs="Times New Roman"/>
          <w:sz w:val="24"/>
          <w:szCs w:val="24"/>
          <w:shd w:val="clear" w:color="auto" w:fill="FFFFFF"/>
        </w:rPr>
        <w:t>88.800 Ft/hó</w:t>
      </w:r>
      <w:r>
        <w:rPr>
          <w:rFonts w:cs="Times New Roman"/>
          <w:sz w:val="24"/>
          <w:szCs w:val="24"/>
          <w:shd w:val="clear" w:color="auto" w:fill="FFFFFF"/>
        </w:rPr>
        <w:t>/fő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D6231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br w:type="page"/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3. melléklet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szóló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</w:t>
      </w:r>
      <w:r w:rsidR="00134AE9">
        <w:rPr>
          <w:rFonts w:eastAsia="Times New Roman" w:cs="Times New Roman"/>
          <w:b/>
          <w:sz w:val="24"/>
          <w:szCs w:val="24"/>
        </w:rPr>
        <w:t>3/2015.(II.19.) önkormányzati</w:t>
      </w:r>
      <w:r w:rsidRPr="00082F1C">
        <w:rPr>
          <w:rFonts w:eastAsia="Times New Roman" w:cs="Times New Roman"/>
          <w:b/>
          <w:sz w:val="24"/>
          <w:szCs w:val="24"/>
        </w:rPr>
        <w:t xml:space="preserve"> rendelethez </w:t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082F1C" w:rsidRPr="00082F1C" w:rsidRDefault="00BC59B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 w:rsidR="003131E5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támogatás megállapítása iránt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iCs/>
          <w:sz w:val="24"/>
          <w:szCs w:val="24"/>
          <w:lang w:eastAsia="hu-HU"/>
        </w:rPr>
        <w:t xml:space="preserve">I. 1. A kérelmező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személyes adatai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676CA3" w:rsidRDefault="00676CA3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TAJ szám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 …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>…………………………………………………………………………………...</w:t>
      </w:r>
    </w:p>
    <w:p w:rsidR="00676CA3" w:rsidRPr="00082F1C" w:rsidRDefault="00676CA3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Számlaszám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2. A kérelmezővel közös háztartásban élők száma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:.......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fő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15"/>
        <w:gridCol w:w="2289"/>
        <w:gridCol w:w="2330"/>
      </w:tblGrid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rokonsági fok</w:t>
            </w:r>
          </w:p>
        </w:tc>
      </w:tr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2444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45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közös háztartásban élő személyek</w:t>
            </w: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táppénz, gyed, gyes, gyet, családi pótlék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82F1C" w:rsidRPr="00082F1C" w:rsidTr="00AC2442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A kérelmező és a vele együtt</w:t>
      </w:r>
      <w:r w:rsidR="0084138F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>élő közeli hozzátartozójának vagyona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A.</w:t>
      </w:r>
      <w:proofErr w:type="gramEnd"/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 Ingatlanok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82F1C" w:rsidRPr="00082F1C" w:rsidTr="00AC2442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82F1C" w:rsidRPr="00082F1C" w:rsidTr="00AC244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82F1C" w:rsidRPr="00082F1C" w:rsidTr="00AC2442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IV. 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082F1C">
        <w:rPr>
          <w:rFonts w:eastAsiaTheme="minorEastAsia" w:cs="Times New Roman"/>
          <w:b/>
          <w:sz w:val="24"/>
          <w:szCs w:val="24"/>
          <w:lang w:eastAsia="hu-HU"/>
        </w:rPr>
        <w:t>lakásfenntartáshoz nyújtott települési támogatás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 lakás nagyságát igazoló iratot.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V. Rendkívüli települési támogatás esetén a rendkívüli élethelyzet, amelyre tekintettel az önkormányzati segélyt kéri: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Az elhunyt személyes adatai: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D6231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5678B7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Mád, 201</w:t>
      </w:r>
      <w:proofErr w:type="gramStart"/>
      <w:r>
        <w:rPr>
          <w:rFonts w:eastAsia="Times New Roman" w:cs="Times New Roman"/>
          <w:bCs/>
          <w:sz w:val="24"/>
          <w:szCs w:val="24"/>
          <w:lang w:eastAsia="hu-HU"/>
        </w:rPr>
        <w:t>….év</w:t>
      </w:r>
      <w:proofErr w:type="gramEnd"/>
      <w:r>
        <w:rPr>
          <w:rFonts w:eastAsia="Times New Roman" w:cs="Times New Roman"/>
          <w:bCs/>
          <w:sz w:val="24"/>
          <w:szCs w:val="24"/>
          <w:lang w:eastAsia="hu-HU"/>
        </w:rPr>
        <w:t>……………..hó………nap</w:t>
      </w:r>
    </w:p>
    <w:p w:rsidR="005678B7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5678B7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5678B7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  <w:t>…………………………………..</w:t>
      </w:r>
    </w:p>
    <w:p w:rsidR="005678B7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proofErr w:type="gramStart"/>
      <w:r>
        <w:rPr>
          <w:rFonts w:eastAsia="Times New Roman" w:cs="Times New Roman"/>
          <w:bCs/>
          <w:sz w:val="24"/>
          <w:szCs w:val="24"/>
          <w:lang w:eastAsia="hu-HU"/>
        </w:rPr>
        <w:t>aláírás</w:t>
      </w:r>
      <w:proofErr w:type="gramEnd"/>
    </w:p>
    <w:p w:rsidR="005678B7" w:rsidRPr="00082F1C" w:rsidRDefault="005678B7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sectPr w:rsidR="00082F1C" w:rsidRPr="00082F1C" w:rsidSect="002E6E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C2" w:rsidRDefault="00D346C2" w:rsidP="009D57A1">
      <w:r>
        <w:separator/>
      </w:r>
    </w:p>
  </w:endnote>
  <w:endnote w:type="continuationSeparator" w:id="0">
    <w:p w:rsidR="00D346C2" w:rsidRDefault="00D346C2" w:rsidP="009D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0922"/>
      <w:docPartObj>
        <w:docPartGallery w:val="Page Numbers (Bottom of Page)"/>
        <w:docPartUnique/>
      </w:docPartObj>
    </w:sdtPr>
    <w:sdtContent>
      <w:p w:rsidR="009D57A1" w:rsidRDefault="00AA23FB">
        <w:pPr>
          <w:pStyle w:val="llb"/>
          <w:jc w:val="center"/>
        </w:pPr>
        <w:r>
          <w:fldChar w:fldCharType="begin"/>
        </w:r>
        <w:r w:rsidR="009D57A1">
          <w:instrText>PAGE   \* MERGEFORMAT</w:instrText>
        </w:r>
        <w:r>
          <w:fldChar w:fldCharType="separate"/>
        </w:r>
        <w:r w:rsidR="00721899">
          <w:rPr>
            <w:noProof/>
          </w:rPr>
          <w:t>1</w:t>
        </w:r>
        <w:r>
          <w:fldChar w:fldCharType="end"/>
        </w:r>
      </w:p>
    </w:sdtContent>
  </w:sdt>
  <w:p w:rsidR="009D57A1" w:rsidRDefault="009D57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C2" w:rsidRDefault="00D346C2" w:rsidP="009D57A1">
      <w:r>
        <w:separator/>
      </w:r>
    </w:p>
  </w:footnote>
  <w:footnote w:type="continuationSeparator" w:id="0">
    <w:p w:rsidR="00D346C2" w:rsidRDefault="00D346C2" w:rsidP="009D5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8C8"/>
    <w:multiLevelType w:val="hybridMultilevel"/>
    <w:tmpl w:val="77F0BF8E"/>
    <w:lvl w:ilvl="0" w:tplc="85A0BAA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1C"/>
    <w:rsid w:val="00005085"/>
    <w:rsid w:val="000471A9"/>
    <w:rsid w:val="00082F1C"/>
    <w:rsid w:val="00091C77"/>
    <w:rsid w:val="000A08BB"/>
    <w:rsid w:val="000A23EA"/>
    <w:rsid w:val="000D6231"/>
    <w:rsid w:val="001151C5"/>
    <w:rsid w:val="00134AE9"/>
    <w:rsid w:val="0015231C"/>
    <w:rsid w:val="00263516"/>
    <w:rsid w:val="002D204F"/>
    <w:rsid w:val="002E6E83"/>
    <w:rsid w:val="003131E5"/>
    <w:rsid w:val="00330F55"/>
    <w:rsid w:val="003A7F25"/>
    <w:rsid w:val="0047392A"/>
    <w:rsid w:val="0049643C"/>
    <w:rsid w:val="00503DA2"/>
    <w:rsid w:val="005177D6"/>
    <w:rsid w:val="005245DB"/>
    <w:rsid w:val="005355B9"/>
    <w:rsid w:val="005504F8"/>
    <w:rsid w:val="00551F5E"/>
    <w:rsid w:val="00562746"/>
    <w:rsid w:val="005678B7"/>
    <w:rsid w:val="005C4E53"/>
    <w:rsid w:val="00606FDA"/>
    <w:rsid w:val="00676CA3"/>
    <w:rsid w:val="006B1EED"/>
    <w:rsid w:val="006E15A2"/>
    <w:rsid w:val="00721899"/>
    <w:rsid w:val="0077736D"/>
    <w:rsid w:val="00785E06"/>
    <w:rsid w:val="007B2421"/>
    <w:rsid w:val="007C2625"/>
    <w:rsid w:val="00827DC7"/>
    <w:rsid w:val="0084138F"/>
    <w:rsid w:val="0090078D"/>
    <w:rsid w:val="009D57A1"/>
    <w:rsid w:val="00A24057"/>
    <w:rsid w:val="00A76624"/>
    <w:rsid w:val="00AA23FB"/>
    <w:rsid w:val="00AC2442"/>
    <w:rsid w:val="00AD328E"/>
    <w:rsid w:val="00AD4196"/>
    <w:rsid w:val="00AF40FA"/>
    <w:rsid w:val="00B0230A"/>
    <w:rsid w:val="00B27A0A"/>
    <w:rsid w:val="00B50A5E"/>
    <w:rsid w:val="00B71095"/>
    <w:rsid w:val="00B73D87"/>
    <w:rsid w:val="00BA4700"/>
    <w:rsid w:val="00BB2504"/>
    <w:rsid w:val="00BC59BC"/>
    <w:rsid w:val="00BE599C"/>
    <w:rsid w:val="00C15AC7"/>
    <w:rsid w:val="00C31337"/>
    <w:rsid w:val="00C4660A"/>
    <w:rsid w:val="00CB2EFC"/>
    <w:rsid w:val="00CC05A4"/>
    <w:rsid w:val="00D346C2"/>
    <w:rsid w:val="00DB2D80"/>
    <w:rsid w:val="00E22CFF"/>
    <w:rsid w:val="00EA307D"/>
    <w:rsid w:val="00EC35ED"/>
    <w:rsid w:val="00EC5196"/>
    <w:rsid w:val="00EF4F6D"/>
    <w:rsid w:val="00F32E5B"/>
    <w:rsid w:val="00F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3131E5"/>
    <w:pPr>
      <w:widowControl/>
      <w:suppressAutoHyphens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3131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71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2319</Words>
  <Characters>16004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47</cp:revision>
  <dcterms:created xsi:type="dcterms:W3CDTF">2015-02-10T07:39:00Z</dcterms:created>
  <dcterms:modified xsi:type="dcterms:W3CDTF">2018-02-15T08:10:00Z</dcterms:modified>
</cp:coreProperties>
</file>